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37AC8" w14:textId="78B90E74" w:rsidR="0051595E" w:rsidRPr="0051595E" w:rsidRDefault="0051595E" w:rsidP="0051595E">
      <w:pPr>
        <w:ind w:left="6480" w:right="-1" w:firstLine="720"/>
        <w:rPr>
          <w:color w:val="4472C4" w:themeColor="accent1"/>
          <w:sz w:val="20"/>
          <w:szCs w:val="20"/>
        </w:rPr>
      </w:pPr>
      <w:r w:rsidRPr="0051595E">
        <w:rPr>
          <w:sz w:val="20"/>
          <w:szCs w:val="20"/>
          <w:lang w:val="lt-LT"/>
        </w:rPr>
        <w:t>V</w:t>
      </w:r>
      <w:r w:rsidRPr="0051595E">
        <w:rPr>
          <w:sz w:val="20"/>
          <w:szCs w:val="20"/>
          <w:lang w:val="lt-LT"/>
        </w:rPr>
        <w:t xml:space="preserve">ilniaus </w:t>
      </w:r>
      <w:r w:rsidRPr="0051595E">
        <w:rPr>
          <w:color w:val="4472C4" w:themeColor="accent1"/>
          <w:sz w:val="20"/>
          <w:szCs w:val="20"/>
        </w:rPr>
        <w:t>[</w:t>
      </w:r>
      <w:proofErr w:type="spellStart"/>
      <w:r w:rsidRPr="0051595E">
        <w:rPr>
          <w:color w:val="4472C4" w:themeColor="accent1"/>
          <w:sz w:val="20"/>
          <w:szCs w:val="20"/>
        </w:rPr>
        <w:t>įrašykite</w:t>
      </w:r>
      <w:proofErr w:type="spellEnd"/>
      <w:r w:rsidRPr="0051595E">
        <w:rPr>
          <w:color w:val="4472C4" w:themeColor="accent1"/>
          <w:sz w:val="20"/>
          <w:szCs w:val="20"/>
        </w:rPr>
        <w:t xml:space="preserve"> </w:t>
      </w:r>
      <w:proofErr w:type="spellStart"/>
      <w:r w:rsidRPr="0051595E">
        <w:rPr>
          <w:color w:val="4472C4" w:themeColor="accent1"/>
          <w:sz w:val="20"/>
          <w:szCs w:val="20"/>
        </w:rPr>
        <w:t>jūsų</w:t>
      </w:r>
      <w:proofErr w:type="spellEnd"/>
      <w:r w:rsidRPr="0051595E">
        <w:rPr>
          <w:color w:val="4472C4" w:themeColor="accent1"/>
          <w:sz w:val="20"/>
          <w:szCs w:val="20"/>
        </w:rPr>
        <w:t xml:space="preserve">        </w:t>
      </w:r>
      <w:r w:rsidRPr="0051595E">
        <w:rPr>
          <w:color w:val="4472C4" w:themeColor="accent1"/>
          <w:sz w:val="20"/>
          <w:szCs w:val="20"/>
        </w:rPr>
        <w:t xml:space="preserve">  </w:t>
      </w:r>
      <w:r>
        <w:rPr>
          <w:color w:val="4472C4" w:themeColor="accent1"/>
          <w:sz w:val="20"/>
          <w:szCs w:val="20"/>
        </w:rPr>
        <w:t xml:space="preserve"> </w:t>
      </w:r>
      <w:proofErr w:type="spellStart"/>
      <w:r w:rsidRPr="0051595E">
        <w:rPr>
          <w:color w:val="4472C4" w:themeColor="accent1"/>
          <w:sz w:val="20"/>
          <w:szCs w:val="20"/>
        </w:rPr>
        <w:t>įstaigos</w:t>
      </w:r>
      <w:proofErr w:type="spellEnd"/>
      <w:r w:rsidRPr="0051595E">
        <w:rPr>
          <w:color w:val="4472C4" w:themeColor="accent1"/>
          <w:sz w:val="20"/>
          <w:szCs w:val="20"/>
        </w:rPr>
        <w:t xml:space="preserve"> </w:t>
      </w:r>
      <w:proofErr w:type="spellStart"/>
      <w:r w:rsidRPr="0051595E">
        <w:rPr>
          <w:color w:val="4472C4" w:themeColor="accent1"/>
          <w:sz w:val="20"/>
          <w:szCs w:val="20"/>
        </w:rPr>
        <w:t>pavadinimą</w:t>
      </w:r>
      <w:proofErr w:type="spellEnd"/>
      <w:r w:rsidRPr="0051595E">
        <w:rPr>
          <w:color w:val="4472C4" w:themeColor="accent1"/>
          <w:sz w:val="20"/>
          <w:szCs w:val="20"/>
        </w:rPr>
        <w:t>]</w:t>
      </w:r>
    </w:p>
    <w:p w14:paraId="2AE42AFF" w14:textId="0730DDC9" w:rsidR="008A13E9" w:rsidRPr="0051595E" w:rsidRDefault="0051595E" w:rsidP="0051595E">
      <w:pPr>
        <w:tabs>
          <w:tab w:val="left" w:pos="1134"/>
        </w:tabs>
        <w:ind w:left="6096" w:right="424"/>
        <w:jc w:val="center"/>
        <w:rPr>
          <w:sz w:val="20"/>
          <w:szCs w:val="20"/>
          <w:lang w:val="lt-LT"/>
        </w:rPr>
      </w:pPr>
      <w:r w:rsidRPr="0051595E">
        <w:rPr>
          <w:sz w:val="20"/>
          <w:szCs w:val="20"/>
          <w:lang w:val="lt-LT"/>
        </w:rPr>
        <w:t xml:space="preserve">  </w:t>
      </w:r>
      <w:r>
        <w:rPr>
          <w:sz w:val="20"/>
          <w:szCs w:val="20"/>
          <w:lang w:val="lt-LT"/>
        </w:rPr>
        <w:t xml:space="preserve"> </w:t>
      </w:r>
      <w:r w:rsidRPr="0051595E">
        <w:rPr>
          <w:sz w:val="20"/>
          <w:szCs w:val="20"/>
          <w:lang w:val="lt-LT"/>
        </w:rPr>
        <w:t xml:space="preserve">       </w:t>
      </w:r>
      <w:r>
        <w:rPr>
          <w:sz w:val="20"/>
          <w:szCs w:val="20"/>
          <w:lang w:val="lt-LT"/>
        </w:rPr>
        <w:t xml:space="preserve">       </w:t>
      </w:r>
      <w:r w:rsidRPr="0051595E">
        <w:rPr>
          <w:sz w:val="20"/>
          <w:szCs w:val="20"/>
          <w:lang w:val="lt-LT"/>
        </w:rPr>
        <w:t xml:space="preserve">  </w:t>
      </w:r>
      <w:r w:rsidR="008A13E9" w:rsidRPr="0051595E">
        <w:rPr>
          <w:sz w:val="20"/>
          <w:szCs w:val="20"/>
          <w:lang w:val="lt-LT"/>
        </w:rPr>
        <w:t>inventorizacijos taisyklių</w:t>
      </w:r>
      <w:r w:rsidR="00BB3248" w:rsidRPr="0051595E">
        <w:rPr>
          <w:sz w:val="20"/>
          <w:szCs w:val="20"/>
          <w:lang w:val="lt-LT"/>
        </w:rPr>
        <w:br/>
      </w:r>
      <w:r w:rsidR="008A13E9" w:rsidRPr="0051595E">
        <w:rPr>
          <w:sz w:val="20"/>
          <w:szCs w:val="20"/>
          <w:lang w:val="lt-LT"/>
        </w:rPr>
        <w:t>1 priedas</w:t>
      </w:r>
    </w:p>
    <w:p w14:paraId="0E524332" w14:textId="77777777" w:rsidR="008A13E9" w:rsidRPr="00DE0F42" w:rsidRDefault="008A13E9" w:rsidP="00A06915">
      <w:pPr>
        <w:tabs>
          <w:tab w:val="left" w:pos="1134"/>
        </w:tabs>
        <w:ind w:right="424"/>
        <w:rPr>
          <w:lang w:val="lt-LT"/>
        </w:rPr>
      </w:pPr>
    </w:p>
    <w:p w14:paraId="04E87E61" w14:textId="77777777" w:rsidR="008A13E9" w:rsidRPr="00DE0F42" w:rsidRDefault="008A13E9" w:rsidP="00A06915">
      <w:pPr>
        <w:tabs>
          <w:tab w:val="left" w:pos="1134"/>
        </w:tabs>
        <w:ind w:right="424" w:firstLine="720"/>
        <w:rPr>
          <w:lang w:val="lt-LT"/>
        </w:rPr>
      </w:pPr>
    </w:p>
    <w:p w14:paraId="6644FEF7" w14:textId="77777777" w:rsidR="008A13E9" w:rsidRPr="00DE0F42" w:rsidRDefault="008A13E9" w:rsidP="008A13E9">
      <w:pPr>
        <w:tabs>
          <w:tab w:val="left" w:pos="1134"/>
        </w:tabs>
        <w:ind w:right="424"/>
        <w:jc w:val="center"/>
        <w:rPr>
          <w:b/>
          <w:lang w:val="lt-LT"/>
        </w:rPr>
      </w:pPr>
      <w:r w:rsidRPr="00DE0F42">
        <w:rPr>
          <w:b/>
          <w:lang w:val="lt-LT"/>
        </w:rPr>
        <w:t>PAGRINDINIAI TURTO NUVERTĖJIMO POŽYMIAI</w:t>
      </w:r>
    </w:p>
    <w:p w14:paraId="7FF63E9D" w14:textId="77777777" w:rsidR="008A13E9" w:rsidRPr="00DE0F42" w:rsidRDefault="008A13E9" w:rsidP="008A13E9">
      <w:pPr>
        <w:tabs>
          <w:tab w:val="left" w:pos="1134"/>
        </w:tabs>
        <w:ind w:right="424"/>
        <w:jc w:val="center"/>
        <w:rPr>
          <w:lang w:val="lt-LT"/>
        </w:rPr>
      </w:pPr>
      <w:r w:rsidRPr="00DE0F42">
        <w:rPr>
          <w:lang w:val="lt-LT"/>
        </w:rPr>
        <w:t>(nurodyti 22-ajame VSAFAS „Turto nuvertėjimas“)</w:t>
      </w:r>
    </w:p>
    <w:p w14:paraId="24CD1B07" w14:textId="77777777" w:rsidR="008A13E9" w:rsidRPr="00DE0F42" w:rsidRDefault="008A13E9" w:rsidP="008A13E9">
      <w:pPr>
        <w:tabs>
          <w:tab w:val="left" w:pos="1134"/>
        </w:tabs>
        <w:ind w:right="424" w:firstLine="567"/>
        <w:jc w:val="both"/>
        <w:rPr>
          <w:lang w:val="lt-LT"/>
        </w:rPr>
      </w:pPr>
    </w:p>
    <w:p w14:paraId="6B92971C" w14:textId="77777777" w:rsidR="008A13E9" w:rsidRPr="00DE0F42" w:rsidRDefault="008A13E9" w:rsidP="00A06915">
      <w:pPr>
        <w:tabs>
          <w:tab w:val="left" w:pos="1134"/>
        </w:tabs>
        <w:spacing w:line="276" w:lineRule="auto"/>
        <w:ind w:right="-2" w:firstLine="1134"/>
        <w:jc w:val="both"/>
        <w:rPr>
          <w:lang w:val="lt-LT"/>
        </w:rPr>
      </w:pPr>
      <w:r w:rsidRPr="00DE0F42">
        <w:rPr>
          <w:lang w:val="lt-LT"/>
        </w:rPr>
        <w:t xml:space="preserve">1. </w:t>
      </w:r>
      <w:r w:rsidRPr="00A422ED">
        <w:rPr>
          <w:b/>
          <w:bCs/>
          <w:lang w:val="lt-LT"/>
        </w:rPr>
        <w:t>Nematerialiojo ir ilgalaikio materialiojo</w:t>
      </w:r>
      <w:r w:rsidRPr="00A422ED">
        <w:rPr>
          <w:lang w:val="lt-LT"/>
        </w:rPr>
        <w:t xml:space="preserve"> turto</w:t>
      </w:r>
      <w:r w:rsidRPr="00DE0F42">
        <w:rPr>
          <w:lang w:val="lt-LT"/>
        </w:rPr>
        <w:t xml:space="preserve"> išoriniai nuvertėjimo požymiai:</w:t>
      </w:r>
    </w:p>
    <w:p w14:paraId="71BBF685"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1.1. reikšmingai sumažėjusi turto teikiamų paslaugų ar juo gaminamų produktų paklausa;</w:t>
      </w:r>
    </w:p>
    <w:p w14:paraId="52ED3524" w14:textId="38C73466" w:rsidR="008A13E9" w:rsidRPr="00DE0F42" w:rsidRDefault="008A13E9" w:rsidP="00A06915">
      <w:pPr>
        <w:tabs>
          <w:tab w:val="left" w:pos="1134"/>
        </w:tabs>
        <w:spacing w:line="276" w:lineRule="auto"/>
        <w:ind w:right="424" w:firstLine="1134"/>
        <w:jc w:val="both"/>
        <w:rPr>
          <w:lang w:val="lt-LT"/>
        </w:rPr>
      </w:pPr>
      <w:r w:rsidRPr="00DE0F42">
        <w:rPr>
          <w:lang w:val="lt-LT"/>
        </w:rPr>
        <w:t>1.2. per ataskaitinį laikotarpį turto rinkos vertė sumažėjo reikšmingai daugiau negu būtų sumažėjusi dėl įprastinio turto naudojimo per tą patį laikotarpį;</w:t>
      </w:r>
    </w:p>
    <w:p w14:paraId="711C8469"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1.3. per ataskaitinį laikotarpį viešojo sektoriaus subjekto veiklos technologinėje, teisinėje aplinkoje arba vyriausybės politikoje įvyko reikšmingų pokyčių, susijusių su viešojo sektoriaus subjekto turimo turto naudojimo apimtimi ir pobūdžiu, kurie daro neigiamą poveikį viešojo sektoriaus subjekto veiklos rezultatams.</w:t>
      </w:r>
    </w:p>
    <w:p w14:paraId="6E10A44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 xml:space="preserve">2. </w:t>
      </w:r>
      <w:r w:rsidRPr="00A422ED">
        <w:rPr>
          <w:b/>
          <w:bCs/>
          <w:lang w:val="lt-LT"/>
        </w:rPr>
        <w:t>Nematerialiojo ir ilgalaikio materialiojo</w:t>
      </w:r>
      <w:r>
        <w:rPr>
          <w:lang w:val="lt-LT"/>
        </w:rPr>
        <w:t xml:space="preserve"> t</w:t>
      </w:r>
      <w:r w:rsidRPr="00DE0F42">
        <w:rPr>
          <w:lang w:val="lt-LT"/>
        </w:rPr>
        <w:t>urto vidiniai nuvertėjimo požymiai:</w:t>
      </w:r>
    </w:p>
    <w:p w14:paraId="0F7B4CFA"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2.1. yra įrodymų, kad turtas ar turto dalis yra sugadinta;</w:t>
      </w:r>
    </w:p>
    <w:p w14:paraId="0844DF2D"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2.2. viešojo sektoriaus subjektas turi turto, kuris dar nėra visiškai nudėvėtas (amortizuotas), tačiau jau nebenaudojamas veikloje;</w:t>
      </w:r>
    </w:p>
    <w:p w14:paraId="5532785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2.3. per ataskaitinį laikotarpį įvyko (arba jie yra tikėtini netolimoje ateityje) reikšmingų ilgalaikių pokyčių, susijusių su turto naudojimo apimtimi ir pobūdžiu, tokių kaip turto galimybių neišnaudojimas (prastovos); planuojama nutraukti ar restruktūrizuoti veiklą, kurią vykdant naudojamas šis turtas; planuojama perleisti turtą anksčiau, negu iki tol tikėtasi, ir panašūs pokyčiai, darantys neigiamą poveikį viešojo sektoriaus subjekto veiklos rezultatams;</w:t>
      </w:r>
    </w:p>
    <w:p w14:paraId="0C3FAE40"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2.4. viešojo sektoriaus subjektas turi nebaigtų statyti objektų, kurių nežadama užbaigti arba kuriuos užbaigti būtų ekonomiškai nenaudinga;</w:t>
      </w:r>
    </w:p>
    <w:p w14:paraId="020C7E6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2.5. iš turto nuomos gaunamos pajamos nepadengia to turto nusidėvėjimo (amortizacijos) ir kitų to turto eksploatavimo išlaidų;</w:t>
      </w:r>
    </w:p>
    <w:p w14:paraId="345A1541" w14:textId="4D31F4B0" w:rsidR="008A13E9" w:rsidRPr="00DE0F42" w:rsidRDefault="008A13E9" w:rsidP="00A06915">
      <w:pPr>
        <w:tabs>
          <w:tab w:val="left" w:pos="1134"/>
        </w:tabs>
        <w:spacing w:line="276" w:lineRule="auto"/>
        <w:ind w:right="424" w:firstLine="1134"/>
        <w:jc w:val="both"/>
        <w:rPr>
          <w:lang w:val="lt-LT"/>
        </w:rPr>
      </w:pPr>
      <w:r w:rsidRPr="00DE0F42">
        <w:rPr>
          <w:lang w:val="lt-LT"/>
        </w:rPr>
        <w:t>2.6. turtui eksploatuoti ir prižiūrėti reikia daugiau išlaidų nei buvo numatyta iš pradžių;</w:t>
      </w:r>
    </w:p>
    <w:p w14:paraId="7EEE1E4D"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2.7. pinigų srautai iš įplaukų duodančio turto naudojant jį uždirbamos pajamos yra reikšmingai mažesni nei buvo numatyta;</w:t>
      </w:r>
    </w:p>
    <w:p w14:paraId="100D6FF4"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2.8. yra informacijos iš viešojo sektoriaus subjekto darbuotojų, valstybės tarnautojų ar padalinių, parodančios, kad turto naudojimo vertė yra žymiai mažesnė nei tikėtasi. Tai galėtų būti pranešimai apie nenaudojamą turtą ir panašiai.</w:t>
      </w:r>
    </w:p>
    <w:p w14:paraId="6E8CA06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 xml:space="preserve">3. </w:t>
      </w:r>
      <w:r w:rsidRPr="00297FE8">
        <w:rPr>
          <w:b/>
          <w:bCs/>
          <w:lang w:val="lt-LT"/>
        </w:rPr>
        <w:t>Išankstinių apmokėjimų</w:t>
      </w:r>
      <w:r w:rsidRPr="00DE0F42">
        <w:rPr>
          <w:lang w:val="lt-LT"/>
        </w:rPr>
        <w:t xml:space="preserve"> nuvertėjimas yra vertinamas tik tuomet, jeigu yra požymių, kad paslaugos arba prekės, už kurias buvo sumokėta, arba jų dalis nebus gauta dėl šių priežasčių:</w:t>
      </w:r>
    </w:p>
    <w:p w14:paraId="23F29B89"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3.1. skolininkas laiku nepatiekė prekių ar nesuteikė paslaugų, už kurias buvo iš anksto sumokėta, ir praleistas terminas kelia pagrįstų abejonių, kad už atliktus išankstinius apmokėjimus bus gautos prekės ar paslaugos;</w:t>
      </w:r>
    </w:p>
    <w:p w14:paraId="2D45A406"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3.2. viešojo sektoriaus subjekto atlikti išankstiniai apmokėjimai yra ginčijami ir yra tikimybė, jog ginčas bus išspręstas ne viešojo sektoriaus subjekto naudai;</w:t>
      </w:r>
    </w:p>
    <w:p w14:paraId="63B23812" w14:textId="77777777" w:rsidR="008A13E9" w:rsidRPr="00DE0F42" w:rsidRDefault="008A13E9" w:rsidP="00A06915">
      <w:pPr>
        <w:tabs>
          <w:tab w:val="left" w:pos="1134"/>
        </w:tabs>
        <w:spacing w:line="276" w:lineRule="auto"/>
        <w:ind w:right="424" w:firstLine="1134"/>
        <w:jc w:val="both"/>
        <w:rPr>
          <w:lang w:val="lt-LT"/>
        </w:rPr>
      </w:pPr>
      <w:r w:rsidRPr="00DE0F42">
        <w:rPr>
          <w:lang w:val="lt-LT"/>
        </w:rPr>
        <w:lastRenderedPageBreak/>
        <w:t>3.3. tiekiantis prekes ar teikiantis paslaugas, už kurias buvo iš anksto sumokėta, subjektas bankrutavo arba yra pradėta jo bankroto procedūra;</w:t>
      </w:r>
    </w:p>
    <w:p w14:paraId="471DE5BA"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3.4. pradėti priverstiniai teisiniai išankstinių apmokėjimo sumų arba prekių ar paslaugų, už kurias buvo iš anksto sumokėta, išieškojimo veiksmai;</w:t>
      </w:r>
    </w:p>
    <w:p w14:paraId="6102EC95"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3.5. kiti, inventorizacijos komisijos nustatyti turto nuvertėjimo požymiai, kurie gali lemti, jog dalis prekių arba paslaugų nebus gautos.</w:t>
      </w:r>
    </w:p>
    <w:p w14:paraId="483AEC11" w14:textId="77777777" w:rsidR="008A13E9" w:rsidRPr="00DE0F42" w:rsidRDefault="008A13E9" w:rsidP="00A06915">
      <w:pPr>
        <w:tabs>
          <w:tab w:val="left" w:pos="1134"/>
        </w:tabs>
        <w:spacing w:line="276" w:lineRule="auto"/>
        <w:ind w:right="424" w:firstLine="567"/>
        <w:jc w:val="both"/>
        <w:rPr>
          <w:lang w:val="lt-LT"/>
        </w:rPr>
      </w:pPr>
      <w:r w:rsidRPr="00DE0F42">
        <w:rPr>
          <w:lang w:val="lt-LT"/>
        </w:rPr>
        <w:tab/>
      </w:r>
      <w:r w:rsidRPr="00DE0F42">
        <w:rPr>
          <w:lang w:val="lt-LT"/>
        </w:rPr>
        <w:tab/>
      </w:r>
      <w:r w:rsidRPr="00DE0F42">
        <w:rPr>
          <w:lang w:val="lt-LT"/>
        </w:rPr>
        <w:tab/>
      </w:r>
      <w:r w:rsidRPr="00DE0F42">
        <w:rPr>
          <w:lang w:val="lt-LT"/>
        </w:rPr>
        <w:tab/>
      </w:r>
      <w:r w:rsidRPr="00DE0F42">
        <w:rPr>
          <w:lang w:val="lt-LT"/>
        </w:rPr>
        <w:tab/>
      </w:r>
      <w:r w:rsidRPr="00DE0F42">
        <w:rPr>
          <w:lang w:val="lt-LT"/>
        </w:rPr>
        <w:tab/>
      </w:r>
    </w:p>
    <w:p w14:paraId="177F1D26" w14:textId="77777777" w:rsidR="008A13E9" w:rsidRPr="00DE0F42" w:rsidRDefault="008A13E9" w:rsidP="00A06915">
      <w:pPr>
        <w:tabs>
          <w:tab w:val="left" w:pos="1134"/>
        </w:tabs>
        <w:spacing w:line="276" w:lineRule="auto"/>
        <w:ind w:right="424" w:firstLine="567"/>
        <w:jc w:val="center"/>
        <w:rPr>
          <w:lang w:val="lt-LT"/>
        </w:rPr>
      </w:pPr>
      <w:r w:rsidRPr="00DE0F42">
        <w:rPr>
          <w:lang w:val="lt-LT"/>
        </w:rPr>
        <w:t>_______________________</w:t>
      </w:r>
    </w:p>
    <w:p w14:paraId="5047CE29" w14:textId="77777777" w:rsidR="005F10B7" w:rsidRDefault="005F10B7"/>
    <w:sectPr w:rsidR="005F10B7" w:rsidSect="0003561C">
      <w:headerReference w:type="default" r:id="rId6"/>
      <w:headerReference w:type="first" r:id="rId7"/>
      <w:footerReference w:type="firs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D3E15" w14:textId="77777777" w:rsidR="0002346A" w:rsidRDefault="0002346A">
      <w:r>
        <w:separator/>
      </w:r>
    </w:p>
  </w:endnote>
  <w:endnote w:type="continuationSeparator" w:id="0">
    <w:p w14:paraId="25FA9674" w14:textId="77777777" w:rsidR="0002346A" w:rsidRDefault="00023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4633" w14:textId="77777777" w:rsidR="00CB2527" w:rsidRDefault="00000000">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4EE92" w14:textId="77777777" w:rsidR="0002346A" w:rsidRDefault="0002346A">
      <w:r>
        <w:separator/>
      </w:r>
    </w:p>
  </w:footnote>
  <w:footnote w:type="continuationSeparator" w:id="0">
    <w:p w14:paraId="3938EF45" w14:textId="77777777" w:rsidR="0002346A" w:rsidRDefault="00023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185180"/>
      <w:docPartObj>
        <w:docPartGallery w:val="Page Numbers (Top of Page)"/>
        <w:docPartUnique/>
      </w:docPartObj>
    </w:sdtPr>
    <w:sdtEndPr>
      <w:rPr>
        <w:noProof/>
      </w:rPr>
    </w:sdtEndPr>
    <w:sdtContent>
      <w:p w14:paraId="19DE5320" w14:textId="77777777" w:rsidR="00C32AB9" w:rsidRDefault="008A13E9">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0127A881" w14:textId="77777777" w:rsidR="00CB2527" w:rsidRDefault="00000000">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DE16" w14:textId="77777777" w:rsidR="00CB2527" w:rsidRDefault="008A13E9">
    <w:pPr>
      <w:pStyle w:val="Porat"/>
      <w:jc w:val="right"/>
    </w:pPr>
    <w:bookmarkStart w:id="0" w:name="specialiojiZyma"/>
    <w:r>
      <w:t xml:space="preserve"> </w: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E9"/>
    <w:rsid w:val="0002346A"/>
    <w:rsid w:val="000D2538"/>
    <w:rsid w:val="0012450D"/>
    <w:rsid w:val="00132065"/>
    <w:rsid w:val="002E49B8"/>
    <w:rsid w:val="00363F44"/>
    <w:rsid w:val="00425504"/>
    <w:rsid w:val="0051595E"/>
    <w:rsid w:val="00587242"/>
    <w:rsid w:val="005F10B7"/>
    <w:rsid w:val="006B1785"/>
    <w:rsid w:val="007F1234"/>
    <w:rsid w:val="008A13E9"/>
    <w:rsid w:val="009472A4"/>
    <w:rsid w:val="00A06915"/>
    <w:rsid w:val="00AF77D5"/>
    <w:rsid w:val="00BB3248"/>
    <w:rsid w:val="00DF3C99"/>
    <w:rsid w:val="00E64283"/>
    <w:rsid w:val="00F72BFB"/>
    <w:rsid w:val="00F82679"/>
    <w:rsid w:val="00FA4DF4"/>
    <w:rsid w:val="00FE1B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A73F1"/>
  <w15:chartTrackingRefBased/>
  <w15:docId w15:val="{EAD41069-4DAC-4627-88A2-9863B873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13E9"/>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A13E9"/>
    <w:pPr>
      <w:tabs>
        <w:tab w:val="center" w:pos="4819"/>
        <w:tab w:val="right" w:pos="9638"/>
      </w:tabs>
    </w:pPr>
  </w:style>
  <w:style w:type="character" w:customStyle="1" w:styleId="AntratsDiagrama">
    <w:name w:val="Antraštės Diagrama"/>
    <w:basedOn w:val="Numatytasispastraiposriftas"/>
    <w:link w:val="Antrats"/>
    <w:uiPriority w:val="99"/>
    <w:rsid w:val="008A13E9"/>
    <w:rPr>
      <w:rFonts w:ascii="Times New Roman" w:eastAsia="Times New Roman" w:hAnsi="Times New Roman" w:cs="Times New Roman"/>
      <w:sz w:val="24"/>
      <w:szCs w:val="24"/>
      <w:lang w:val="en-GB"/>
    </w:rPr>
  </w:style>
  <w:style w:type="paragraph" w:styleId="Porat">
    <w:name w:val="footer"/>
    <w:basedOn w:val="prastasis"/>
    <w:link w:val="PoratDiagrama"/>
    <w:rsid w:val="008A13E9"/>
    <w:pPr>
      <w:tabs>
        <w:tab w:val="center" w:pos="4819"/>
        <w:tab w:val="right" w:pos="9638"/>
      </w:tabs>
    </w:pPr>
  </w:style>
  <w:style w:type="character" w:customStyle="1" w:styleId="PoratDiagrama">
    <w:name w:val="Poraštė Diagrama"/>
    <w:basedOn w:val="Numatytasispastraiposriftas"/>
    <w:link w:val="Porat"/>
    <w:rsid w:val="008A13E9"/>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BB32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B3248"/>
    <w:rPr>
      <w:rFonts w:ascii="Segoe UI" w:eastAsia="Times New Roman" w:hAnsi="Segoe UI" w:cs="Segoe UI"/>
      <w:sz w:val="18"/>
      <w:szCs w:val="18"/>
      <w:lang w:val="en-GB"/>
    </w:rPr>
  </w:style>
  <w:style w:type="paragraph" w:styleId="Pataisymai">
    <w:name w:val="Revision"/>
    <w:hidden/>
    <w:uiPriority w:val="99"/>
    <w:semiHidden/>
    <w:rsid w:val="00A06915"/>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Danguolė Jakimavičienė</dc:creator>
  <cp:lastModifiedBy>user</cp:lastModifiedBy>
  <cp:revision>5</cp:revision>
  <dcterms:created xsi:type="dcterms:W3CDTF">2022-09-07T13:56:00Z</dcterms:created>
  <dcterms:modified xsi:type="dcterms:W3CDTF">2022-12-28T09:11:00Z</dcterms:modified>
</cp:coreProperties>
</file>